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100"/>
      </w:pPr>
      <w:r>
        <w:rPr>
          <w:rFonts w:ascii="Calibri" w:cs="Calibri" w:eastAsia="Calibri" w:hAnsi="Calibri"/>
          <w:b/>
          <w:bCs/>
          <w:color w:val="2E74B5"/>
          <w:sz w:val="22"/>
          <w:szCs w:val="22"/>
        </w:rPr>
        <w:t xml:space="preserve">BUSINESS RESILIENCE PULSE CHECK</w:t>
      </w:r>
    </w:p>
    <w:p>
      <w:pPr>
        <w:spacing w:after="200"/>
      </w:pPr>
      <w:r>
        <w:rPr>
          <w:rFonts w:ascii="Calibri" w:cs="Calibri" w:eastAsia="Calibri" w:hAnsi="Calibri"/>
          <w:b/>
          <w:bCs/>
          <w:color w:val="595959"/>
          <w:sz w:val="20"/>
          <w:szCs w:val="20"/>
        </w:rPr>
        <w:t xml:space="preserve">PC-701</w:t>
      </w:r>
    </w:p>
    <w:p>
      <w:pPr>
        <w:spacing w:after="120"/>
      </w:pPr>
      <w:r>
        <w:rPr>
          <w:rFonts w:ascii="Calibri" w:cs="Calibri" w:eastAsia="Calibri" w:hAnsi="Calibri"/>
          <w:b/>
          <w:bCs/>
          <w:color w:val="1F3864"/>
          <w:sz w:val="52"/>
          <w:szCs w:val="52"/>
        </w:rPr>
        <w:t xml:space="preserve">Operations Manual</w:t>
      </w:r>
    </w:p>
    <w:p>
      <w:pPr>
        <w:spacing w:after="100"/>
      </w:pPr>
      <w:r>
        <w:rPr>
          <w:rFonts w:ascii="Calibri" w:cs="Calibri" w:eastAsia="Calibri" w:hAnsi="Calibri"/>
          <w:color w:val="595959"/>
          <w:sz w:val="24"/>
          <w:szCs w:val="24"/>
        </w:rPr>
        <w:t xml:space="preserve">Delivery workflow, kickoff checklist, quality gates, closeout, and facilitator readiness</w:t>
      </w:r>
    </w:p>
    <w:p>
      <w:pPr>
        <w:pBdr>
          <w:bottom w:val="single" w:color="2E74B5" w:sz="8" w:space="6"/>
        </w:pBdr>
        <w:spacing w:after="80"/>
      </w:pPr>
      <w:r>
        <w:rPr>
          <w:rFonts w:ascii="Calibri" w:cs="Calibri" w:eastAsia="Calibri" w:hAnsi="Calibri"/>
          <w:color w:val="595959"/>
          <w:sz w:val="20"/>
          <w:szCs w:val="20"/>
        </w:rPr>
        <w:t xml:space="preserve">Internal Operations  |  Version 1.0  |  July 2026</w:t>
      </w:r>
    </w:p>
    <w:p>
      <w:pPr>
        <w:spacing w:after="160"/>
      </w:pPr>
    </w:p>
    <w:p>
      <w:pPr>
        <w:pStyle w:val="Heading1"/>
        <w:keepNext/>
        <w:spacing w:after="140" w:before="320"/>
      </w:pPr>
      <w:r>
        <w:rPr>
          <w:rFonts w:ascii="Calibri" w:cs="Calibri" w:eastAsia="Calibri" w:hAnsi="Calibri"/>
          <w:b/>
          <w:bCs/>
          <w:color w:val="1F3864"/>
          <w:sz w:val="30"/>
          <w:szCs w:val="30"/>
        </w:rPr>
        <w:t xml:space="preserve">1. The Delivery Workflow</w:t>
      </w:r>
    </w:p>
    <w:p>
      <w:pPr>
        <w:spacing w:after="120" w:before="0" w:line="276"/>
      </w:pPr>
      <w:r>
        <w:rPr>
          <w:rFonts w:ascii="Calibri" w:cs="Calibri" w:eastAsia="Calibri" w:hAnsi="Calibri"/>
          <w:color w:val="404040"/>
          <w:sz w:val="21"/>
          <w:szCs w:val="21"/>
        </w:rPr>
        <w:t xml:space="preserve">The end-to-end workflow for every Pulse Check engagement. Each step lists the activity, the package document used, the owner, and the timeline. All quality gates in Section 3 apply.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single" w:color="1F3864" w:sz="24"/>
              <w:bottom w:val="none" w:color="FFFFFF" w:sz="0"/>
              <w:right w:val="none" w:color="FFFFFF" w:sz="0"/>
            </w:tcBorders>
            <w:shd w:fill="EDF2F9" w:val="clear"/>
            <w:tcMar>
              <w:top w:type="dxa" w:w="100"/>
              <w:left w:type="dxa" w:w="160"/>
              <w:bottom w:type="dxa" w:w="100"/>
              <w:right w:type="dxa" w:w="160"/>
            </w:tcMar>
          </w:tcPr>
          <w:p>
            <w:pPr>
              <w:spacing w:after="60"/>
            </w:pPr>
            <w:r>
              <w:rPr>
                <w:rFonts w:ascii="Calibri" w:cs="Calibri" w:eastAsia="Calibri" w:hAnsi="Calibri"/>
                <w:b/>
                <w:bCs/>
                <w:color w:val="1F3864"/>
                <w:sz w:val="20"/>
                <w:szCs w:val="20"/>
              </w:rPr>
              <w:t xml:space="preserve">ℹ  GGUIDANCE: The Advisory Relationship Context</w:t>
            </w:r>
          </w:p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The Pulse Check is the entry point into a recurring advisory relationship. Step 6 explicitly transitions from “engagement complete” to “advisory relationship active.” The findings don’t end at delivery ,  they become the roadmap for the relationship. Every touchpoint is earned by the findings, not manufactured by a sales calendar.</w:t>
            </w:r>
          </w:p>
        </w:tc>
      </w:tr>
    </w:tbl>
    <w:p>
      <w:pPr>
        <w:pStyle w:val="Heading2"/>
        <w:keepNext/>
        <w:spacing w:after="110" w:before="240"/>
      </w:pPr>
      <w:r>
        <w:rPr>
          <w:rFonts w:ascii="Calibri" w:cs="Calibri" w:eastAsia="Calibri" w:hAnsi="Calibri"/>
          <w:b/>
          <w:bCs/>
          <w:color w:val="2E74B5"/>
          <w:sz w:val="25"/>
          <w:szCs w:val="25"/>
        </w:rPr>
        <w:t xml:space="preserve">Step 1: Sales and Qualification</w:t>
      </w:r>
    </w:p>
    <w:tbl>
      <w:tblPr>
        <w:tblW w:type="dxa" w:w="9360"/>
        <w:tblBorders>
          <w:top w:val="single" w:color="BFBFBF" w:sz="4"/>
          <w:left w:val="single" w:color="BFBFBF" w:sz="4"/>
          <w:bottom w:val="single" w:color="BFBFBF" w:sz="4"/>
          <w:right w:val="single" w:color="BFBFBF" w:sz="4"/>
          <w:insideH w:val="single" w:color="BFBFBF" w:sz="4"/>
          <w:insideV w:val="single" w:color="BFBFBF" w:sz="4"/>
        </w:tblBorders>
      </w:tblPr>
      <w:tblGrid>
        <w:gridCol w:w="3400"/>
        <w:gridCol w:w="2900"/>
        <w:gridCol w:w="1500"/>
        <w:gridCol w:w="1560"/>
      </w:tblGrid>
      <w:tr>
        <w:trPr>
          <w:tblHeader/>
        </w:trPr>
        <w:tc>
          <w:tcPr>
            <w:tcW w:type="dxa" w:w="3400"/>
            <w:shd w:fill="1F386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Activity</w:t>
            </w:r>
          </w:p>
        </w:tc>
        <w:tc>
          <w:tcPr>
            <w:tcW w:type="dxa" w:w="2900"/>
            <w:shd w:fill="1F386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Document</w:t>
            </w:r>
          </w:p>
        </w:tc>
        <w:tc>
          <w:tcPr>
            <w:tcW w:type="dxa" w:w="1500"/>
            <w:shd w:fill="1F386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Owner</w:t>
            </w:r>
          </w:p>
        </w:tc>
        <w:tc>
          <w:tcPr>
            <w:tcW w:type="dxa" w:w="1560"/>
            <w:shd w:fill="1F386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Timeline</w:t>
            </w:r>
          </w:p>
        </w:tc>
      </w:tr>
      <w:tr>
        <w:tc>
          <w:tcPr>
            <w:tcW w:type="dxa" w:w="34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Prospect conversation with diagnostic positioning</w:t>
            </w:r>
          </w:p>
        </w:tc>
        <w:tc>
          <w:tcPr>
            <w:tcW w:type="dxa" w:w="29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Service One-Pager; Sales Playbook (01 - Sell)</w:t>
            </w:r>
          </w:p>
        </w:tc>
        <w:tc>
          <w:tcPr>
            <w:tcW w:type="dxa" w:w="15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Sales / Facilitator</w:t>
            </w:r>
          </w:p>
        </w:tc>
        <w:tc>
          <w:tcPr>
            <w:tcW w:type="dxa" w:w="156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As needed</w:t>
            </w:r>
          </w:p>
        </w:tc>
      </w:tr>
      <w:tr>
        <w:tc>
          <w:tcPr>
            <w:tcW w:type="dxa" w:w="34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Present the Pulse Check and pricing</w:t>
            </w:r>
          </w:p>
        </w:tc>
        <w:tc>
          <w:tcPr>
            <w:tcW w:type="dxa" w:w="29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Sales Playbook (01 - Sell)</w:t>
            </w:r>
          </w:p>
        </w:tc>
        <w:tc>
          <w:tcPr>
            <w:tcW w:type="dxa" w:w="15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Sales / Facilitator</w:t>
            </w:r>
          </w:p>
        </w:tc>
        <w:tc>
          <w:tcPr>
            <w:tcW w:type="dxa" w:w="156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As needed</w:t>
            </w:r>
          </w:p>
        </w:tc>
      </w:tr>
      <w:tr>
        <w:tc>
          <w:tcPr>
            <w:tcW w:type="dxa" w:w="34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Send proposal</w:t>
            </w:r>
          </w:p>
        </w:tc>
        <w:tc>
          <w:tcPr>
            <w:tcW w:type="dxa" w:w="29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Proposal Template (01 - Sell)</w:t>
            </w:r>
          </w:p>
        </w:tc>
        <w:tc>
          <w:tcPr>
            <w:tcW w:type="dxa" w:w="15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Sales / Facilitator</w:t>
            </w:r>
          </w:p>
        </w:tc>
        <w:tc>
          <w:tcPr>
            <w:tcW w:type="dxa" w:w="156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Within 5 BD of interest</w:t>
            </w:r>
          </w:p>
        </w:tc>
      </w:tr>
      <w:tr>
        <w:tc>
          <w:tcPr>
            <w:tcW w:type="dxa" w:w="34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Client accepts proposal</w:t>
            </w:r>
          </w:p>
        </w:tc>
        <w:tc>
          <w:tcPr>
            <w:tcW w:type="dxa" w:w="29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, </w:t>
            </w:r>
          </w:p>
        </w:tc>
        <w:tc>
          <w:tcPr>
            <w:tcW w:type="dxa" w:w="15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Client</w:t>
            </w:r>
          </w:p>
        </w:tc>
        <w:tc>
          <w:tcPr>
            <w:tcW w:type="dxa" w:w="156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Per proposal validity</w:t>
            </w:r>
          </w:p>
        </w:tc>
      </w:tr>
    </w:tbl>
    <w:p>
      <w:pPr>
        <w:pStyle w:val="Heading2"/>
        <w:keepNext/>
        <w:spacing w:after="110" w:before="240"/>
      </w:pPr>
      <w:r>
        <w:rPr>
          <w:rFonts w:ascii="Calibri" w:cs="Calibri" w:eastAsia="Calibri" w:hAnsi="Calibri"/>
          <w:b/>
          <w:bCs/>
          <w:color w:val="2E74B5"/>
          <w:sz w:val="25"/>
          <w:szCs w:val="25"/>
        </w:rPr>
        <w:t xml:space="preserve">Step 2: Engagement Setup</w:t>
      </w:r>
    </w:p>
    <w:tbl>
      <w:tblPr>
        <w:tblW w:type="dxa" w:w="9360"/>
        <w:tblBorders>
          <w:top w:val="single" w:color="BFBFBF" w:sz="4"/>
          <w:left w:val="single" w:color="BFBFBF" w:sz="4"/>
          <w:bottom w:val="single" w:color="BFBFBF" w:sz="4"/>
          <w:right w:val="single" w:color="BFBFBF" w:sz="4"/>
          <w:insideH w:val="single" w:color="BFBFBF" w:sz="4"/>
          <w:insideV w:val="single" w:color="BFBFBF" w:sz="4"/>
        </w:tblBorders>
      </w:tblPr>
      <w:tblGrid>
        <w:gridCol w:w="3400"/>
        <w:gridCol w:w="2900"/>
        <w:gridCol w:w="1500"/>
        <w:gridCol w:w="1560"/>
      </w:tblGrid>
      <w:tr>
        <w:trPr>
          <w:tblHeader/>
        </w:trPr>
        <w:tc>
          <w:tcPr>
            <w:tcW w:type="dxa" w:w="3400"/>
            <w:shd w:fill="1F386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Activity</w:t>
            </w:r>
          </w:p>
        </w:tc>
        <w:tc>
          <w:tcPr>
            <w:tcW w:type="dxa" w:w="2900"/>
            <w:shd w:fill="1F386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Document</w:t>
            </w:r>
          </w:p>
        </w:tc>
        <w:tc>
          <w:tcPr>
            <w:tcW w:type="dxa" w:w="1500"/>
            <w:shd w:fill="1F386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Owner</w:t>
            </w:r>
          </w:p>
        </w:tc>
        <w:tc>
          <w:tcPr>
            <w:tcW w:type="dxa" w:w="1560"/>
            <w:shd w:fill="1F386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Timeline</w:t>
            </w:r>
          </w:p>
        </w:tc>
      </w:tr>
      <w:tr>
        <w:tc>
          <w:tcPr>
            <w:tcW w:type="dxa" w:w="34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Execute NDA, then SOW</w:t>
            </w:r>
          </w:p>
        </w:tc>
        <w:tc>
          <w:tcPr>
            <w:tcW w:type="dxa" w:w="29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Mutual Non-Disclosure Agreement; Statement of Work and Engagement Terms (02 - Contract)</w:t>
            </w:r>
          </w:p>
        </w:tc>
        <w:tc>
          <w:tcPr>
            <w:tcW w:type="dxa" w:w="15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Both parties</w:t>
            </w:r>
          </w:p>
        </w:tc>
        <w:tc>
          <w:tcPr>
            <w:tcW w:type="dxa" w:w="156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Before any work begins</w:t>
            </w:r>
          </w:p>
        </w:tc>
      </w:tr>
      <w:tr>
        <w:tc>
          <w:tcPr>
            <w:tcW w:type="dxa" w:w="34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Collect 50% deposit</w:t>
            </w:r>
          </w:p>
        </w:tc>
        <w:tc>
          <w:tcPr>
            <w:tcW w:type="dxa" w:w="29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Per SOW payment terms</w:t>
            </w:r>
          </w:p>
        </w:tc>
        <w:tc>
          <w:tcPr>
            <w:tcW w:type="dxa" w:w="15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Facilitator/Admin</w:t>
            </w:r>
          </w:p>
        </w:tc>
        <w:tc>
          <w:tcPr>
            <w:tcW w:type="dxa" w:w="156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Upon SOW execution</w:t>
            </w:r>
          </w:p>
        </w:tc>
      </w:tr>
      <w:tr>
        <w:tc>
          <w:tcPr>
            <w:tcW w:type="dxa" w:w="34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Complete kickoff checklist</w:t>
            </w:r>
          </w:p>
        </w:tc>
        <w:tc>
          <w:tcPr>
            <w:tcW w:type="dxa" w:w="29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Section 2 of this manual</w:t>
            </w:r>
          </w:p>
        </w:tc>
        <w:tc>
          <w:tcPr>
            <w:tcW w:type="dxa" w:w="15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Facilitator</w:t>
            </w:r>
          </w:p>
        </w:tc>
        <w:tc>
          <w:tcPr>
            <w:tcW w:type="dxa" w:w="156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Within 5 BD</w:t>
            </w:r>
          </w:p>
        </w:tc>
      </w:tr>
      <w:tr>
        <w:tc>
          <w:tcPr>
            <w:tcW w:type="dxa" w:w="34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Send intake packet</w:t>
            </w:r>
          </w:p>
        </w:tc>
        <w:tc>
          <w:tcPr>
            <w:tcW w:type="dxa" w:w="29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Client Intake Packet (03 - Plan)</w:t>
            </w:r>
          </w:p>
        </w:tc>
        <w:tc>
          <w:tcPr>
            <w:tcW w:type="dxa" w:w="15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Facilitator</w:t>
            </w:r>
          </w:p>
        </w:tc>
        <w:tc>
          <w:tcPr>
            <w:tcW w:type="dxa" w:w="156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Within 3 BD</w:t>
            </w:r>
          </w:p>
        </w:tc>
      </w:tr>
      <w:tr>
        <w:tc>
          <w:tcPr>
            <w:tcW w:type="dxa" w:w="34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Assign and brief observer</w:t>
            </w:r>
          </w:p>
        </w:tc>
        <w:tc>
          <w:tcPr>
            <w:tcW w:type="dxa" w:w="29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Observer Kit (05 - Deliver)</w:t>
            </w:r>
          </w:p>
        </w:tc>
        <w:tc>
          <w:tcPr>
            <w:tcW w:type="dxa" w:w="15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Facilitator/Manager</w:t>
            </w:r>
          </w:p>
        </w:tc>
        <w:tc>
          <w:tcPr>
            <w:tcW w:type="dxa" w:w="156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At kickoff</w:t>
            </w:r>
          </w:p>
        </w:tc>
      </w:tr>
      <w:tr>
        <w:tc>
          <w:tcPr>
            <w:tcW w:type="dxa" w:w="34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Populate planning timeline</w:t>
            </w:r>
          </w:p>
        </w:tc>
        <w:tc>
          <w:tcPr>
            <w:tcW w:type="dxa" w:w="29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Planning Workbook, Section 1 (03 - Plan)</w:t>
            </w:r>
          </w:p>
        </w:tc>
        <w:tc>
          <w:tcPr>
            <w:tcW w:type="dxa" w:w="15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Facilitator</w:t>
            </w:r>
          </w:p>
        </w:tc>
        <w:tc>
          <w:tcPr>
            <w:tcW w:type="dxa" w:w="156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At kickoff</w:t>
            </w:r>
          </w:p>
        </w:tc>
      </w:tr>
    </w:tbl>
    <w:p>
      <w:pPr>
        <w:pStyle w:val="Heading2"/>
        <w:keepNext/>
        <w:spacing w:after="110" w:before="240"/>
      </w:pPr>
      <w:r>
        <w:rPr>
          <w:rFonts w:ascii="Calibri" w:cs="Calibri" w:eastAsia="Calibri" w:hAnsi="Calibri"/>
          <w:b/>
          <w:bCs/>
          <w:color w:val="2E74B5"/>
          <w:sz w:val="25"/>
          <w:szCs w:val="25"/>
        </w:rPr>
        <w:t xml:space="preserve">Step 3: Planning and Scenario Development</w:t>
      </w:r>
    </w:p>
    <w:tbl>
      <w:tblPr>
        <w:tblW w:type="dxa" w:w="9360"/>
        <w:tblBorders>
          <w:top w:val="single" w:color="BFBFBF" w:sz="4"/>
          <w:left w:val="single" w:color="BFBFBF" w:sz="4"/>
          <w:bottom w:val="single" w:color="BFBFBF" w:sz="4"/>
          <w:right w:val="single" w:color="BFBFBF" w:sz="4"/>
          <w:insideH w:val="single" w:color="BFBFBF" w:sz="4"/>
          <w:insideV w:val="single" w:color="BFBFBF" w:sz="4"/>
        </w:tblBorders>
      </w:tblPr>
      <w:tblGrid>
        <w:gridCol w:w="3400"/>
        <w:gridCol w:w="2900"/>
        <w:gridCol w:w="1500"/>
        <w:gridCol w:w="1560"/>
      </w:tblGrid>
      <w:tr>
        <w:trPr>
          <w:tblHeader/>
        </w:trPr>
        <w:tc>
          <w:tcPr>
            <w:tcW w:type="dxa" w:w="3400"/>
            <w:shd w:fill="1F386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Activity</w:t>
            </w:r>
          </w:p>
        </w:tc>
        <w:tc>
          <w:tcPr>
            <w:tcW w:type="dxa" w:w="2900"/>
            <w:shd w:fill="1F386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Document</w:t>
            </w:r>
          </w:p>
        </w:tc>
        <w:tc>
          <w:tcPr>
            <w:tcW w:type="dxa" w:w="1500"/>
            <w:shd w:fill="1F386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Owner</w:t>
            </w:r>
          </w:p>
        </w:tc>
        <w:tc>
          <w:tcPr>
            <w:tcW w:type="dxa" w:w="1560"/>
            <w:shd w:fill="1F386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Timeline</w:t>
            </w:r>
          </w:p>
        </w:tc>
      </w:tr>
      <w:tr>
        <w:tc>
          <w:tcPr>
            <w:tcW w:type="dxa" w:w="34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Review returned intake and documentation</w:t>
            </w:r>
          </w:p>
        </w:tc>
        <w:tc>
          <w:tcPr>
            <w:tcW w:type="dxa" w:w="29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Client Intake Packet responses</w:t>
            </w:r>
          </w:p>
        </w:tc>
        <w:tc>
          <w:tcPr>
            <w:tcW w:type="dxa" w:w="15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Facilitator</w:t>
            </w:r>
          </w:p>
        </w:tc>
        <w:tc>
          <w:tcPr>
            <w:tcW w:type="dxa" w:w="156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Upon receipt</w:t>
            </w:r>
          </w:p>
        </w:tc>
      </w:tr>
      <w:tr>
        <w:tc>
          <w:tcPr>
            <w:tcW w:type="dxa" w:w="34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Select scenario</w:t>
            </w:r>
          </w:p>
        </w:tc>
        <w:tc>
          <w:tcPr>
            <w:tcW w:type="dxa" w:w="29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Program Guide Section 5; 04 - Scenario Packages</w:t>
            </w:r>
          </w:p>
        </w:tc>
        <w:tc>
          <w:tcPr>
            <w:tcW w:type="dxa" w:w="15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Facilitator</w:t>
            </w:r>
          </w:p>
        </w:tc>
        <w:tc>
          <w:tcPr>
            <w:tcW w:type="dxa" w:w="156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Week 2</w:t>
            </w:r>
          </w:p>
        </w:tc>
      </w:tr>
      <w:tr>
        <w:tc>
          <w:tcPr>
            <w:tcW w:type="dxa" w:w="34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Develop and agree objectives</w:t>
            </w:r>
          </w:p>
        </w:tc>
        <w:tc>
          <w:tcPr>
            <w:tcW w:type="dxa" w:w="29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Planning Workbook, Section 2</w:t>
            </w:r>
          </w:p>
        </w:tc>
        <w:tc>
          <w:tcPr>
            <w:tcW w:type="dxa" w:w="15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Facilitator + Client</w:t>
            </w:r>
          </w:p>
        </w:tc>
        <w:tc>
          <w:tcPr>
            <w:tcW w:type="dxa" w:w="156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Week 2</w:t>
            </w:r>
          </w:p>
        </w:tc>
      </w:tr>
      <w:tr>
        <w:tc>
          <w:tcPr>
            <w:tcW w:type="dxa" w:w="34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Customize scenario</w:t>
            </w:r>
          </w:p>
        </w:tc>
        <w:tc>
          <w:tcPr>
            <w:tcW w:type="dxa" w:w="29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Scenario package + Planning Workbook, Section 6</w:t>
            </w:r>
          </w:p>
        </w:tc>
        <w:tc>
          <w:tcPr>
            <w:tcW w:type="dxa" w:w="15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Facilitator</w:t>
            </w:r>
          </w:p>
        </w:tc>
        <w:tc>
          <w:tcPr>
            <w:tcW w:type="dxa" w:w="156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Weeks 2–4</w:t>
            </w:r>
          </w:p>
        </w:tc>
      </w:tr>
      <w:tr>
        <w:tc>
          <w:tcPr>
            <w:tcW w:type="dxa" w:w="34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Finalize participant list</w:t>
            </w:r>
          </w:p>
        </w:tc>
        <w:tc>
          <w:tcPr>
            <w:tcW w:type="dxa" w:w="29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Planning Workbook, Section 3</w:t>
            </w:r>
          </w:p>
        </w:tc>
        <w:tc>
          <w:tcPr>
            <w:tcW w:type="dxa" w:w="15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Client coordinator</w:t>
            </w:r>
          </w:p>
        </w:tc>
        <w:tc>
          <w:tcPr>
            <w:tcW w:type="dxa" w:w="156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Week 3</w:t>
            </w:r>
          </w:p>
        </w:tc>
      </w:tr>
      <w:tr>
        <w:tc>
          <w:tcPr>
            <w:tcW w:type="dxa" w:w="34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Send invitations (Form B attached)</w:t>
            </w:r>
          </w:p>
        </w:tc>
        <w:tc>
          <w:tcPr>
            <w:tcW w:type="dxa" w:w="29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Planning Workbook appendix; Pre-Exercise Forms (02 - Contract)</w:t>
            </w:r>
          </w:p>
        </w:tc>
        <w:tc>
          <w:tcPr>
            <w:tcW w:type="dxa" w:w="15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Client coordinator</w:t>
            </w:r>
          </w:p>
        </w:tc>
        <w:tc>
          <w:tcPr>
            <w:tcW w:type="dxa" w:w="156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Week 3 (≥10 BD before)</w:t>
            </w:r>
          </w:p>
        </w:tc>
      </w:tr>
      <w:tr>
        <w:tc>
          <w:tcPr>
            <w:tcW w:type="dxa" w:w="34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Obtain client sign-off</w:t>
            </w:r>
          </w:p>
        </w:tc>
        <w:tc>
          <w:tcPr>
            <w:tcW w:type="dxa" w:w="29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Pre-Exercise Forms, Form A</w:t>
            </w:r>
          </w:p>
        </w:tc>
        <w:tc>
          <w:tcPr>
            <w:tcW w:type="dxa" w:w="15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Client coordinator</w:t>
            </w:r>
          </w:p>
        </w:tc>
        <w:tc>
          <w:tcPr>
            <w:tcW w:type="dxa" w:w="156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≥5 BD before exercise</w:t>
            </w:r>
          </w:p>
        </w:tc>
      </w:tr>
      <w:tr>
        <w:tc>
          <w:tcPr>
            <w:tcW w:type="dxa" w:w="34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Complete logistics</w:t>
            </w:r>
          </w:p>
        </w:tc>
        <w:tc>
          <w:tcPr>
            <w:tcW w:type="dxa" w:w="29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Planning Workbook, Section 5</w:t>
            </w:r>
          </w:p>
        </w:tc>
        <w:tc>
          <w:tcPr>
            <w:tcW w:type="dxa" w:w="15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Both</w:t>
            </w:r>
          </w:p>
        </w:tc>
        <w:tc>
          <w:tcPr>
            <w:tcW w:type="dxa" w:w="156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Week 4</w:t>
            </w:r>
          </w:p>
        </w:tc>
      </w:tr>
    </w:tbl>
    <w:p>
      <w:pPr>
        <w:pStyle w:val="Heading2"/>
        <w:keepNext/>
        <w:spacing w:after="110" w:before="240"/>
      </w:pPr>
      <w:r>
        <w:rPr>
          <w:rFonts w:ascii="Calibri" w:cs="Calibri" w:eastAsia="Calibri" w:hAnsi="Calibri"/>
          <w:b/>
          <w:bCs/>
          <w:color w:val="2E74B5"/>
          <w:sz w:val="25"/>
          <w:szCs w:val="25"/>
        </w:rPr>
        <w:t xml:space="preserve">Step 4: Exercise Delivery</w:t>
      </w:r>
    </w:p>
    <w:tbl>
      <w:tblPr>
        <w:tblW w:type="dxa" w:w="9360"/>
        <w:tblBorders>
          <w:top w:val="single" w:color="BFBFBF" w:sz="4"/>
          <w:left w:val="single" w:color="BFBFBF" w:sz="4"/>
          <w:bottom w:val="single" w:color="BFBFBF" w:sz="4"/>
          <w:right w:val="single" w:color="BFBFBF" w:sz="4"/>
          <w:insideH w:val="single" w:color="BFBFBF" w:sz="4"/>
          <w:insideV w:val="single" w:color="BFBFBF" w:sz="4"/>
        </w:tblBorders>
      </w:tblPr>
      <w:tblGrid>
        <w:gridCol w:w="3400"/>
        <w:gridCol w:w="2900"/>
        <w:gridCol w:w="1500"/>
        <w:gridCol w:w="1560"/>
      </w:tblGrid>
      <w:tr>
        <w:trPr>
          <w:tblHeader/>
        </w:trPr>
        <w:tc>
          <w:tcPr>
            <w:tcW w:type="dxa" w:w="3400"/>
            <w:shd w:fill="1F386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Activity</w:t>
            </w:r>
          </w:p>
        </w:tc>
        <w:tc>
          <w:tcPr>
            <w:tcW w:type="dxa" w:w="2900"/>
            <w:shd w:fill="1F386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Document</w:t>
            </w:r>
          </w:p>
        </w:tc>
        <w:tc>
          <w:tcPr>
            <w:tcW w:type="dxa" w:w="1500"/>
            <w:shd w:fill="1F386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Owner</w:t>
            </w:r>
          </w:p>
        </w:tc>
        <w:tc>
          <w:tcPr>
            <w:tcW w:type="dxa" w:w="1560"/>
            <w:shd w:fill="1F386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Timeline</w:t>
            </w:r>
          </w:p>
        </w:tc>
      </w:tr>
      <w:tr>
        <w:tc>
          <w:tcPr>
            <w:tcW w:type="dxa" w:w="34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Day-of setup and QA</w:t>
            </w:r>
          </w:p>
        </w:tc>
        <w:tc>
          <w:tcPr>
            <w:tcW w:type="dxa" w:w="29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Section 3 Phase 3 gates; Planning Workbook, Section 5</w:t>
            </w:r>
          </w:p>
        </w:tc>
        <w:tc>
          <w:tcPr>
            <w:tcW w:type="dxa" w:w="15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Facilitator</w:t>
            </w:r>
          </w:p>
        </w:tc>
        <w:tc>
          <w:tcPr>
            <w:tcW w:type="dxa" w:w="156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Morning of</w:t>
            </w:r>
          </w:p>
        </w:tc>
      </w:tr>
      <w:tr>
        <w:tc>
          <w:tcPr>
            <w:tcW w:type="dxa" w:w="34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Collect sign-ins and Form B agreements</w:t>
            </w:r>
          </w:p>
        </w:tc>
        <w:tc>
          <w:tcPr>
            <w:tcW w:type="dxa" w:w="29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Exercise Day Forms; Pre-Exercise Forms (Form B)</w:t>
            </w:r>
          </w:p>
        </w:tc>
        <w:tc>
          <w:tcPr>
            <w:tcW w:type="dxa" w:w="15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Observer / Facilitator</w:t>
            </w:r>
          </w:p>
        </w:tc>
        <w:tc>
          <w:tcPr>
            <w:tcW w:type="dxa" w:w="156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On arrival</w:t>
            </w:r>
          </w:p>
        </w:tc>
      </w:tr>
      <w:tr>
        <w:tc>
          <w:tcPr>
            <w:tcW w:type="dxa" w:w="34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Deliver the exercise</w:t>
            </w:r>
          </w:p>
        </w:tc>
        <w:tc>
          <w:tcPr>
            <w:tcW w:type="dxa" w:w="29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Facilitator Guide; customized scenario package</w:t>
            </w:r>
          </w:p>
        </w:tc>
        <w:tc>
          <w:tcPr>
            <w:tcW w:type="dxa" w:w="15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Facilitator</w:t>
            </w:r>
          </w:p>
        </w:tc>
        <w:tc>
          <w:tcPr>
            <w:tcW w:type="dxa" w:w="156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2–3 hours</w:t>
            </w:r>
          </w:p>
        </w:tc>
      </w:tr>
      <w:tr>
        <w:tc>
          <w:tcPr>
            <w:tcW w:type="dxa" w:w="34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Document observations</w:t>
            </w:r>
          </w:p>
        </w:tc>
        <w:tc>
          <w:tcPr>
            <w:tcW w:type="dxa" w:w="29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Observer Kit, Part 2</w:t>
            </w:r>
          </w:p>
        </w:tc>
        <w:tc>
          <w:tcPr>
            <w:tcW w:type="dxa" w:w="15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Observer</w:t>
            </w:r>
          </w:p>
        </w:tc>
        <w:tc>
          <w:tcPr>
            <w:tcW w:type="dxa" w:w="156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Throughout</w:t>
            </w:r>
          </w:p>
        </w:tc>
      </w:tr>
      <w:tr>
        <w:tc>
          <w:tcPr>
            <w:tcW w:type="dxa" w:w="34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Hot wash and feedback forms</w:t>
            </w:r>
          </w:p>
        </w:tc>
        <w:tc>
          <w:tcPr>
            <w:tcW w:type="dxa" w:w="29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Facilitator Guide; Exercise Day Forms</w:t>
            </w:r>
          </w:p>
        </w:tc>
        <w:tc>
          <w:tcPr>
            <w:tcW w:type="dxa" w:w="15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Facilitator</w:t>
            </w:r>
          </w:p>
        </w:tc>
        <w:tc>
          <w:tcPr>
            <w:tcW w:type="dxa" w:w="156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Final 25 min</w:t>
            </w:r>
          </w:p>
        </w:tc>
      </w:tr>
      <w:tr>
        <w:tc>
          <w:tcPr>
            <w:tcW w:type="dxa" w:w="34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Facilitator–observer debrief</w:t>
            </w:r>
          </w:p>
        </w:tc>
        <w:tc>
          <w:tcPr>
            <w:tcW w:type="dxa" w:w="29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Observer Kit</w:t>
            </w:r>
          </w:p>
        </w:tc>
        <w:tc>
          <w:tcPr>
            <w:tcW w:type="dxa" w:w="15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Both</w:t>
            </w:r>
          </w:p>
        </w:tc>
        <w:tc>
          <w:tcPr>
            <w:tcW w:type="dxa" w:w="156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Within 2 hours</w:t>
            </w:r>
          </w:p>
        </w:tc>
      </w:tr>
    </w:tbl>
    <w:p>
      <w:pPr>
        <w:pStyle w:val="Heading2"/>
        <w:keepNext/>
        <w:spacing w:after="110" w:before="240"/>
      </w:pPr>
      <w:r>
        <w:rPr>
          <w:rFonts w:ascii="Calibri" w:cs="Calibri" w:eastAsia="Calibri" w:hAnsi="Calibri"/>
          <w:b/>
          <w:bCs/>
          <w:color w:val="2E74B5"/>
          <w:sz w:val="25"/>
          <w:szCs w:val="25"/>
        </w:rPr>
        <w:t xml:space="preserve">Step 5: Post-Exercise Deliverables</w:t>
      </w:r>
    </w:p>
    <w:tbl>
      <w:tblPr>
        <w:tblW w:type="dxa" w:w="9360"/>
        <w:tblBorders>
          <w:top w:val="single" w:color="BFBFBF" w:sz="4"/>
          <w:left w:val="single" w:color="BFBFBF" w:sz="4"/>
          <w:bottom w:val="single" w:color="BFBFBF" w:sz="4"/>
          <w:right w:val="single" w:color="BFBFBF" w:sz="4"/>
          <w:insideH w:val="single" w:color="BFBFBF" w:sz="4"/>
          <w:insideV w:val="single" w:color="BFBFBF" w:sz="4"/>
        </w:tblBorders>
      </w:tblPr>
      <w:tblGrid>
        <w:gridCol w:w="3400"/>
        <w:gridCol w:w="2900"/>
        <w:gridCol w:w="1500"/>
        <w:gridCol w:w="1560"/>
      </w:tblGrid>
      <w:tr>
        <w:trPr>
          <w:tblHeader/>
        </w:trPr>
        <w:tc>
          <w:tcPr>
            <w:tcW w:type="dxa" w:w="3400"/>
            <w:shd w:fill="1F386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Activity</w:t>
            </w:r>
          </w:p>
        </w:tc>
        <w:tc>
          <w:tcPr>
            <w:tcW w:type="dxa" w:w="2900"/>
            <w:shd w:fill="1F386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Document</w:t>
            </w:r>
          </w:p>
        </w:tc>
        <w:tc>
          <w:tcPr>
            <w:tcW w:type="dxa" w:w="1500"/>
            <w:shd w:fill="1F386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Owner</w:t>
            </w:r>
          </w:p>
        </w:tc>
        <w:tc>
          <w:tcPr>
            <w:tcW w:type="dxa" w:w="1560"/>
            <w:shd w:fill="1F386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Timeline</w:t>
            </w:r>
          </w:p>
        </w:tc>
      </w:tr>
      <w:tr>
        <w:tc>
          <w:tcPr>
            <w:tcW w:type="dxa" w:w="34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Compile observer notes</w:t>
            </w:r>
          </w:p>
        </w:tc>
        <w:tc>
          <w:tcPr>
            <w:tcW w:type="dxa" w:w="29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Observer Kit, Part 2</w:t>
            </w:r>
          </w:p>
        </w:tc>
        <w:tc>
          <w:tcPr>
            <w:tcW w:type="dxa" w:w="15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Observer</w:t>
            </w:r>
          </w:p>
        </w:tc>
        <w:tc>
          <w:tcPr>
            <w:tcW w:type="dxa" w:w="156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+1 BD</w:t>
            </w:r>
          </w:p>
        </w:tc>
      </w:tr>
      <w:tr>
        <w:tc>
          <w:tcPr>
            <w:tcW w:type="dxa" w:w="34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Compile participant feedback</w:t>
            </w:r>
          </w:p>
        </w:tc>
        <w:tc>
          <w:tcPr>
            <w:tcW w:type="dxa" w:w="29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Exercise Day Forms responses</w:t>
            </w:r>
          </w:p>
        </w:tc>
        <w:tc>
          <w:tcPr>
            <w:tcW w:type="dxa" w:w="15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Facilitator</w:t>
            </w:r>
          </w:p>
        </w:tc>
        <w:tc>
          <w:tcPr>
            <w:tcW w:type="dxa" w:w="156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+3 BD</w:t>
            </w:r>
          </w:p>
        </w:tc>
      </w:tr>
      <w:tr>
        <w:tc>
          <w:tcPr>
            <w:tcW w:type="dxa" w:w="34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Write draft AAR</w:t>
            </w:r>
          </w:p>
        </w:tc>
        <w:tc>
          <w:tcPr>
            <w:tcW w:type="dxa" w:w="29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Pulse Check AAR Template (06 - Report); Severity and Finding Standards + Sample Findings Library (00 - Quality Standards)</w:t>
            </w:r>
          </w:p>
        </w:tc>
        <w:tc>
          <w:tcPr>
            <w:tcW w:type="dxa" w:w="15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Facilitator</w:t>
            </w:r>
          </w:p>
        </w:tc>
        <w:tc>
          <w:tcPr>
            <w:tcW w:type="dxa" w:w="156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+10 BD</w:t>
            </w:r>
          </w:p>
        </w:tc>
      </w:tr>
      <w:tr>
        <w:tc>
          <w:tcPr>
            <w:tcW w:type="dxa" w:w="34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Peer review (strongly recommended)</w:t>
            </w:r>
          </w:p>
        </w:tc>
        <w:tc>
          <w:tcPr>
            <w:tcW w:type="dxa" w:w="29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Severity and Finding Standards, Section 5</w:t>
            </w:r>
          </w:p>
        </w:tc>
        <w:tc>
          <w:tcPr>
            <w:tcW w:type="dxa" w:w="15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Peer reviewer</w:t>
            </w:r>
          </w:p>
        </w:tc>
        <w:tc>
          <w:tcPr>
            <w:tcW w:type="dxa" w:w="156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+10 to +13 BD</w:t>
            </w:r>
          </w:p>
        </w:tc>
      </w:tr>
      <w:tr>
        <w:tc>
          <w:tcPr>
            <w:tcW w:type="dxa" w:w="34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Prepare Executive Summary</w:t>
            </w:r>
          </w:p>
        </w:tc>
        <w:tc>
          <w:tcPr>
            <w:tcW w:type="dxa" w:w="29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Executive Summary Template (06 - Report)</w:t>
            </w:r>
          </w:p>
        </w:tc>
        <w:tc>
          <w:tcPr>
            <w:tcW w:type="dxa" w:w="15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Facilitator</w:t>
            </w:r>
          </w:p>
        </w:tc>
        <w:tc>
          <w:tcPr>
            <w:tcW w:type="dxa" w:w="156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+13 BD</w:t>
            </w:r>
          </w:p>
        </w:tc>
      </w:tr>
      <w:tr>
        <w:tc>
          <w:tcPr>
            <w:tcW w:type="dxa" w:w="34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Deliver draft package</w:t>
            </w:r>
          </w:p>
        </w:tc>
        <w:tc>
          <w:tcPr>
            <w:tcW w:type="dxa" w:w="29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AAR + Executive Summary</w:t>
            </w:r>
          </w:p>
        </w:tc>
        <w:tc>
          <w:tcPr>
            <w:tcW w:type="dxa" w:w="15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Facilitator</w:t>
            </w:r>
          </w:p>
        </w:tc>
        <w:tc>
          <w:tcPr>
            <w:tcW w:type="dxa" w:w="156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+15 BD</w:t>
            </w:r>
          </w:p>
        </w:tc>
      </w:tr>
      <w:tr>
        <w:tc>
          <w:tcPr>
            <w:tcW w:type="dxa" w:w="34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After-Action Meeting; client comments</w:t>
            </w:r>
          </w:p>
        </w:tc>
        <w:tc>
          <w:tcPr>
            <w:tcW w:type="dxa" w:w="29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Draft AAR; Improvement Plan appendix</w:t>
            </w:r>
          </w:p>
        </w:tc>
        <w:tc>
          <w:tcPr>
            <w:tcW w:type="dxa" w:w="15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Both</w:t>
            </w:r>
          </w:p>
        </w:tc>
        <w:tc>
          <w:tcPr>
            <w:tcW w:type="dxa" w:w="156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By +30 BD</w:t>
            </w:r>
          </w:p>
        </w:tc>
      </w:tr>
      <w:tr>
        <w:tc>
          <w:tcPr>
            <w:tcW w:type="dxa" w:w="34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Finalize and deliver full package</w:t>
            </w:r>
          </w:p>
        </w:tc>
        <w:tc>
          <w:tcPr>
            <w:tcW w:type="dxa" w:w="29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Final AAR; Compliance Evidence Package; Improvement Plan Tracker.xlsx</w:t>
            </w:r>
          </w:p>
        </w:tc>
        <w:tc>
          <w:tcPr>
            <w:tcW w:type="dxa" w:w="15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Facilitator</w:t>
            </w:r>
          </w:p>
        </w:tc>
        <w:tc>
          <w:tcPr>
            <w:tcW w:type="dxa" w:w="156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+30 BD</w:t>
            </w:r>
          </w:p>
        </w:tc>
      </w:tr>
      <w:tr>
        <w:tc>
          <w:tcPr>
            <w:tcW w:type="dxa" w:w="34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Collect final 50% payment</w:t>
            </w:r>
          </w:p>
        </w:tc>
        <w:tc>
          <w:tcPr>
            <w:tcW w:type="dxa" w:w="29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Per SOW payment terms</w:t>
            </w:r>
          </w:p>
        </w:tc>
        <w:tc>
          <w:tcPr>
            <w:tcW w:type="dxa" w:w="15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Admin</w:t>
            </w:r>
          </w:p>
        </w:tc>
        <w:tc>
          <w:tcPr>
            <w:tcW w:type="dxa" w:w="156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Upon draft delivery per SOW</w:t>
            </w:r>
          </w:p>
        </w:tc>
      </w:tr>
    </w:tbl>
    <w:p>
      <w:pPr>
        <w:pStyle w:val="Heading2"/>
        <w:keepNext/>
        <w:spacing w:after="110" w:before="240"/>
      </w:pPr>
      <w:r>
        <w:rPr>
          <w:rFonts w:ascii="Calibri" w:cs="Calibri" w:eastAsia="Calibri" w:hAnsi="Calibri"/>
          <w:b/>
          <w:bCs/>
          <w:color w:val="2E74B5"/>
          <w:sz w:val="25"/>
          <w:szCs w:val="25"/>
        </w:rPr>
        <w:t xml:space="preserve">Step 6: Closeout and Advisory Relationship Activation</w:t>
      </w:r>
    </w:p>
    <w:tbl>
      <w:tblPr>
        <w:tblW w:type="dxa" w:w="9360"/>
        <w:tblBorders>
          <w:top w:val="single" w:color="BFBFBF" w:sz="4"/>
          <w:left w:val="single" w:color="BFBFBF" w:sz="4"/>
          <w:bottom w:val="single" w:color="BFBFBF" w:sz="4"/>
          <w:right w:val="single" w:color="BFBFBF" w:sz="4"/>
          <w:insideH w:val="single" w:color="BFBFBF" w:sz="4"/>
          <w:insideV w:val="single" w:color="BFBFBF" w:sz="4"/>
        </w:tblBorders>
      </w:tblPr>
      <w:tblGrid>
        <w:gridCol w:w="3400"/>
        <w:gridCol w:w="2900"/>
        <w:gridCol w:w="1500"/>
        <w:gridCol w:w="1560"/>
      </w:tblGrid>
      <w:tr>
        <w:trPr>
          <w:tblHeader/>
        </w:trPr>
        <w:tc>
          <w:tcPr>
            <w:tcW w:type="dxa" w:w="3400"/>
            <w:shd w:fill="1F386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Activity</w:t>
            </w:r>
          </w:p>
        </w:tc>
        <w:tc>
          <w:tcPr>
            <w:tcW w:type="dxa" w:w="2900"/>
            <w:shd w:fill="1F386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Document</w:t>
            </w:r>
          </w:p>
        </w:tc>
        <w:tc>
          <w:tcPr>
            <w:tcW w:type="dxa" w:w="1500"/>
            <w:shd w:fill="1F386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Owner</w:t>
            </w:r>
          </w:p>
        </w:tc>
        <w:tc>
          <w:tcPr>
            <w:tcW w:type="dxa" w:w="1560"/>
            <w:shd w:fill="1F386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Timeline</w:t>
            </w:r>
          </w:p>
        </w:tc>
      </w:tr>
      <w:tr>
        <w:tc>
          <w:tcPr>
            <w:tcW w:type="dxa" w:w="34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Complete closeout checklist</w:t>
            </w:r>
          </w:p>
        </w:tc>
        <w:tc>
          <w:tcPr>
            <w:tcW w:type="dxa" w:w="29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Section 4 of this manual</w:t>
            </w:r>
          </w:p>
        </w:tc>
        <w:tc>
          <w:tcPr>
            <w:tcW w:type="dxa" w:w="15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Facilitator</w:t>
            </w:r>
          </w:p>
        </w:tc>
        <w:tc>
          <w:tcPr>
            <w:tcW w:type="dxa" w:w="156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+35 BD</w:t>
            </w:r>
          </w:p>
        </w:tc>
      </w:tr>
      <w:tr>
        <w:tc>
          <w:tcPr>
            <w:tcW w:type="dxa" w:w="34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Update delivery log</w:t>
            </w:r>
          </w:p>
        </w:tc>
        <w:tc>
          <w:tcPr>
            <w:tcW w:type="dxa" w:w="29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Facilitator Delivery Log.xlsx (this folder)</w:t>
            </w:r>
          </w:p>
        </w:tc>
        <w:tc>
          <w:tcPr>
            <w:tcW w:type="dxa" w:w="15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Facilitator</w:t>
            </w:r>
          </w:p>
        </w:tc>
        <w:tc>
          <w:tcPr>
            <w:tcW w:type="dxa" w:w="156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+35 BD</w:t>
            </w:r>
          </w:p>
        </w:tc>
      </w:tr>
      <w:tr>
        <w:tc>
          <w:tcPr>
            <w:tcW w:type="dxa" w:w="34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Document lessons learned</w:t>
            </w:r>
          </w:p>
        </w:tc>
        <w:tc>
          <w:tcPr>
            <w:tcW w:type="dxa" w:w="29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Section 4 of this manual</w:t>
            </w:r>
          </w:p>
        </w:tc>
        <w:tc>
          <w:tcPr>
            <w:tcW w:type="dxa" w:w="15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Facilitator</w:t>
            </w:r>
          </w:p>
        </w:tc>
        <w:tc>
          <w:tcPr>
            <w:tcW w:type="dxa" w:w="156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+35 BD</w:t>
            </w:r>
          </w:p>
        </w:tc>
      </w:tr>
      <w:tr>
        <w:tc>
          <w:tcPr>
            <w:tcW w:type="dxa" w:w="34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Map findings to your service capabilities</w:t>
            </w:r>
          </w:p>
        </w:tc>
        <w:tc>
          <w:tcPr>
            <w:tcW w:type="dxa" w:w="29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Program Guide, Section 7</w:t>
            </w:r>
          </w:p>
        </w:tc>
        <w:tc>
          <w:tcPr>
            <w:tcW w:type="dxa" w:w="15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Facilitator</w:t>
            </w:r>
          </w:p>
        </w:tc>
        <w:tc>
          <w:tcPr>
            <w:tcW w:type="dxa" w:w="156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+35 BD</w:t>
            </w:r>
          </w:p>
        </w:tc>
      </w:tr>
      <w:tr>
        <w:tc>
          <w:tcPr>
            <w:tcW w:type="dxa" w:w="34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Schedule 30/60/90-day advisory check-ins</w:t>
            </w:r>
          </w:p>
        </w:tc>
        <w:tc>
          <w:tcPr>
            <w:tcW w:type="dxa" w:w="29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Program Guide, Section 6 Phase 6</w:t>
            </w:r>
          </w:p>
        </w:tc>
        <w:tc>
          <w:tcPr>
            <w:tcW w:type="dxa" w:w="15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Facilitator</w:t>
            </w:r>
          </w:p>
        </w:tc>
        <w:tc>
          <w:tcPr>
            <w:tcW w:type="dxa" w:w="156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+35 BD</w:t>
            </w:r>
          </w:p>
        </w:tc>
      </w:tr>
      <w:tr>
        <w:tc>
          <w:tcPr>
            <w:tcW w:type="dxa" w:w="34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Send renewal proposal</w:t>
            </w:r>
          </w:p>
        </w:tc>
        <w:tc>
          <w:tcPr>
            <w:tcW w:type="dxa" w:w="29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Annual Renewal Proposal (this folder)</w:t>
            </w:r>
          </w:p>
        </w:tc>
        <w:tc>
          <w:tcPr>
            <w:tcW w:type="dxa" w:w="15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Facilitator</w:t>
            </w:r>
          </w:p>
        </w:tc>
        <w:tc>
          <w:tcPr>
            <w:tcW w:type="dxa" w:w="156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60–90 days after delivery</w:t>
            </w:r>
          </w:p>
        </w:tc>
      </w:tr>
    </w:tbl>
    <w:p>
      <w:pPr>
        <w:pStyle w:val="Heading1"/>
        <w:keepNext/>
        <w:spacing w:after="140" w:before="320"/>
      </w:pPr>
      <w:r>
        <w:rPr>
          <w:rFonts w:ascii="Calibri" w:cs="Calibri" w:eastAsia="Calibri" w:hAnsi="Calibri"/>
          <w:b/>
          <w:bCs/>
          <w:color w:val="1F3864"/>
          <w:sz w:val="30"/>
          <w:szCs w:val="30"/>
        </w:rPr>
        <w:t xml:space="preserve">2. Engagement Kickoff Checklist</w:t>
      </w:r>
    </w:p>
    <w:p>
      <w:pPr>
        <w:spacing w:after="120" w:before="0" w:line="276"/>
      </w:pPr>
      <w:r>
        <w:rPr>
          <w:rFonts w:ascii="Calibri" w:cs="Calibri" w:eastAsia="Calibri" w:hAnsi="Calibri"/>
          <w:color w:val="404040"/>
          <w:sz w:val="21"/>
          <w:szCs w:val="21"/>
        </w:rPr>
        <w:t xml:space="preserve">Complete all items within the first 5 business days after SOW execution. File the completed checklist in the engagement record.</w:t>
      </w:r>
    </w:p>
    <w:p>
      <w:pPr>
        <w:pStyle w:val="Heading2"/>
        <w:keepNext/>
        <w:spacing w:after="110" w:before="240"/>
      </w:pPr>
      <w:r>
        <w:rPr>
          <w:rFonts w:ascii="Calibri" w:cs="Calibri" w:eastAsia="Calibri" w:hAnsi="Calibri"/>
          <w:b/>
          <w:bCs/>
          <w:color w:val="2E74B5"/>
          <w:sz w:val="25"/>
          <w:szCs w:val="25"/>
        </w:rPr>
        <w:t xml:space="preserve">Administrative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SOW and Engagement Terms fully executed and filed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NDA fully executed and filed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Deposit invoice sent (per SOW payment terms)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Deposit received and confirmed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Engagement folder created (legal / planning / materials / delivery / post-exercise)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Calendar holds placed for exercise date, planning meetings, and AAR deadlines</w:t>
      </w:r>
    </w:p>
    <w:p>
      <w:pPr>
        <w:pStyle w:val="Heading2"/>
        <w:keepNext/>
        <w:spacing w:after="110" w:before="240"/>
      </w:pPr>
      <w:r>
        <w:rPr>
          <w:rFonts w:ascii="Calibri" w:cs="Calibri" w:eastAsia="Calibri" w:hAnsi="Calibri"/>
          <w:b/>
          <w:bCs/>
          <w:color w:val="2E74B5"/>
          <w:sz w:val="25"/>
          <w:szCs w:val="25"/>
        </w:rPr>
        <w:t xml:space="preserve">Client Communication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Kickoff call scheduled or completed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Client Intake Packet sent to coordinator with return dates (Section A: 10 BD, Section B: 15 BD)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Cancellation terms (SOW Exhibit A) acknowledged by client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Planning timeline populated and shared with the coordinator</w:t>
      </w:r>
    </w:p>
    <w:p>
      <w:pPr>
        <w:pStyle w:val="Heading2"/>
        <w:keepNext/>
        <w:spacing w:after="110" w:before="240"/>
      </w:pPr>
      <w:r>
        <w:rPr>
          <w:rFonts w:ascii="Calibri" w:cs="Calibri" w:eastAsia="Calibri" w:hAnsi="Calibri"/>
          <w:b/>
          <w:bCs/>
          <w:color w:val="2E74B5"/>
          <w:sz w:val="25"/>
          <w:szCs w:val="25"/>
        </w:rPr>
        <w:t xml:space="preserve">Team Assignment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Lead facilitator confirmed and has completed the Facilitator Training Plan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Observer confirmed and briefed on engagement scope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Peer reviewer identified if available (see Severity and Finding Standards for review options)</w:t>
      </w:r>
    </w:p>
    <w:p>
      <w:pPr>
        <w:pStyle w:val="Heading2"/>
        <w:keepNext/>
        <w:spacing w:after="110" w:before="240"/>
      </w:pPr>
      <w:r>
        <w:rPr>
          <w:rFonts w:ascii="Calibri" w:cs="Calibri" w:eastAsia="Calibri" w:hAnsi="Calibri"/>
          <w:b/>
          <w:bCs/>
          <w:color w:val="2E74B5"/>
          <w:sz w:val="25"/>
          <w:szCs w:val="25"/>
        </w:rPr>
        <w:t xml:space="preserve">Planning Initiation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Scenario type tentatively identified from SOW scope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First planning meeting date confirmed with client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Available client documentation reviewed (prior reports, IR plan, org chart)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Risk factors identified (scheduling, participant availability, client responsiveness)</w:t>
      </w:r>
    </w:p>
    <w:p>
      <w:pPr>
        <w:pStyle w:val="Heading1"/>
        <w:keepNext/>
        <w:spacing w:after="140" w:before="320"/>
      </w:pPr>
      <w:r>
        <w:rPr>
          <w:rFonts w:ascii="Calibri" w:cs="Calibri" w:eastAsia="Calibri" w:hAnsi="Calibri"/>
          <w:b/>
          <w:bCs/>
          <w:color w:val="1F3864"/>
          <w:sz w:val="30"/>
          <w:szCs w:val="30"/>
        </w:rPr>
        <w:t xml:space="preserve">3. Quality Gates</w:t>
      </w:r>
    </w:p>
    <w:p>
      <w:pPr>
        <w:spacing w:after="120" w:before="0" w:line="276"/>
      </w:pPr>
      <w:r>
        <w:rPr>
          <w:rFonts w:ascii="Calibri" w:cs="Calibri" w:eastAsia="Calibri" w:hAnsi="Calibri"/>
          <w:color w:val="404040"/>
          <w:sz w:val="21"/>
          <w:szCs w:val="21"/>
        </w:rPr>
        <w:t xml:space="preserve">Every engagement must pass these gates. An engagement that fails a mandatory gate must be remediated before proceeding.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single" w:color="538135" w:sz="24"/>
              <w:bottom w:val="none" w:color="FFFFFF" w:sz="0"/>
              <w:right w:val="none" w:color="FFFFFF" w:sz="0"/>
            </w:tcBorders>
            <w:shd w:fill="E2EFDA" w:val="clear"/>
            <w:tcMar>
              <w:top w:type="dxa" w:w="100"/>
              <w:left w:type="dxa" w:w="160"/>
              <w:bottom w:type="dxa" w:w="100"/>
              <w:right w:type="dxa" w:w="160"/>
            </w:tcMar>
          </w:tcPr>
          <w:p>
            <w:pPr>
              <w:spacing w:after="60"/>
            </w:pPr>
            <w:r>
              <w:rPr>
                <w:rFonts w:ascii="Calibri" w:cs="Calibri" w:eastAsia="Calibri" w:hAnsi="Calibri"/>
                <w:b/>
                <w:bCs/>
                <w:color w:val="538135"/>
                <w:sz w:val="20"/>
                <w:szCs w:val="20"/>
              </w:rPr>
              <w:t xml:space="preserve">✓  QQUALITY STANDARD: Quality Is Not Optional</w:t>
            </w:r>
          </w:p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These standards are the minimum floor for every engagement. They protect the program’s reputation, the practitioner’s credibility, and the client’s investment. Cutting corners on quality is how practices die.</w:t>
            </w:r>
          </w:p>
        </w:tc>
      </w:tr>
    </w:tbl>
    <w:p>
      <w:pPr>
        <w:pStyle w:val="Heading2"/>
        <w:keepNext/>
        <w:spacing w:after="110" w:before="240"/>
      </w:pPr>
      <w:r>
        <w:rPr>
          <w:rFonts w:ascii="Calibri" w:cs="Calibri" w:eastAsia="Calibri" w:hAnsi="Calibri"/>
          <w:b/>
          <w:bCs/>
          <w:color w:val="2E74B5"/>
          <w:sz w:val="25"/>
          <w:szCs w:val="25"/>
        </w:rPr>
        <w:t xml:space="preserve">Phase 1: Pre-Engagement (before the exercise date is confirmed)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SOW and NDA executed and filed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Intake questionnaire returned and reviewed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Facilitator assigned and has completed the Facilitator Training Plan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Observer assigned (mandatory ,  no exceptions)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Exercise objectives developed and approved by the client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Scenario selected and customization scope defined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Planning timeline shared with the client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Deposit received</w:t>
      </w:r>
    </w:p>
    <w:p>
      <w:pPr>
        <w:pStyle w:val="Heading2"/>
        <w:keepNext/>
        <w:spacing w:after="110" w:before="240"/>
      </w:pPr>
      <w:r>
        <w:rPr>
          <w:rFonts w:ascii="Calibri" w:cs="Calibri" w:eastAsia="Calibri" w:hAnsi="Calibri"/>
          <w:b/>
          <w:bCs/>
          <w:color w:val="2E74B5"/>
          <w:sz w:val="25"/>
          <w:szCs w:val="25"/>
        </w:rPr>
        <w:t xml:space="preserve">Phase 2: Pre-Exercise (at least 5 business days before)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Participant list finalized and reviewed for functional-area coverage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Key stakeholder availability confirmed (absence framework applied if needed)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Scenario customization complete ,  no [CUSTOMIZE] tags or placeholder text remain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Pre-Exercise Forms Form A signed and returned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Invitations sent to all participants with Form B attached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Logistics confirmed per the Planning Workbook checklist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Facilitator guide annotated with client-specific probe questions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Observer template pre-populated with objectives and participant names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Real Incident During Exercise Protocol reviewed by facilitator and observer</w:t>
      </w:r>
    </w:p>
    <w:p>
      <w:pPr>
        <w:pStyle w:val="Heading2"/>
        <w:keepNext/>
        <w:spacing w:after="110" w:before="240"/>
      </w:pPr>
      <w:r>
        <w:rPr>
          <w:rFonts w:ascii="Calibri" w:cs="Calibri" w:eastAsia="Calibri" w:hAnsi="Calibri"/>
          <w:b/>
          <w:bCs/>
          <w:color w:val="2E74B5"/>
          <w:sz w:val="25"/>
          <w:szCs w:val="25"/>
        </w:rPr>
        <w:t xml:space="preserve">Phase 3: Day-Of (before the exercise begins)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Room or virtual platform confirmed and functional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All materials staged (Participant Guides, forms, inject cards, presentation)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Facilitator–observer alignment completed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Sign-in sheet ready; Form B copies ready for collection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Client coordinator confirms participants are attending</w:t>
      </w:r>
    </w:p>
    <w:p>
      <w:pPr>
        <w:pStyle w:val="Heading2"/>
        <w:keepNext/>
        <w:spacing w:after="110" w:before="240"/>
      </w:pPr>
      <w:r>
        <w:rPr>
          <w:rFonts w:ascii="Calibri" w:cs="Calibri" w:eastAsia="Calibri" w:hAnsi="Calibri"/>
          <w:b/>
          <w:bCs/>
          <w:color w:val="2E74B5"/>
          <w:sz w:val="25"/>
          <w:szCs w:val="25"/>
        </w:rPr>
        <w:t xml:space="preserve">Phase 4: Post-Exercise (before the draft goes to peer review)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Sign-in sheet and all Form B agreements collected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Observer notes compiled within 24 hours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Feedback forms collected and compiled within 3 business days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Facilitator–observer debrief completed within 24 hours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Every finding follows the four-part structure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Every severity rating calibrated per Severity and Finding Standards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Minimum 3 strength findings included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AAR follows the mandatory section structure, scope limitation statement intact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No copy-paste findings; no blame language; Executive Summary passes the “CEO reads only this” test</w:t>
      </w:r>
    </w:p>
    <w:p>
      <w:pPr>
        <w:pStyle w:val="Heading2"/>
        <w:keepNext/>
        <w:spacing w:after="110" w:before="240"/>
      </w:pPr>
      <w:r>
        <w:rPr>
          <w:rFonts w:ascii="Calibri" w:cs="Calibri" w:eastAsia="Calibri" w:hAnsi="Calibri"/>
          <w:b/>
          <w:bCs/>
          <w:color w:val="2E74B5"/>
          <w:sz w:val="25"/>
          <w:szCs w:val="25"/>
        </w:rPr>
        <w:t xml:space="preserve">Phase 5: Pre-Delivery (before the client sees the draft)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Peer review completed (see Severity and Finding Standards for options including AI-assisted review)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All peer review feedback addressed or documented as resolved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Finding numbers and ratings consistent across the AAR, findings matrix, and Improvement Plan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All template instruction callouts removed from client deliverables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Draft clearly marked DRAFT; delivered within 15 business days of the exercise</w:t>
      </w:r>
    </w:p>
    <w:p>
      <w:pPr>
        <w:pStyle w:val="Heading2"/>
        <w:keepNext/>
        <w:spacing w:after="110" w:before="240"/>
      </w:pPr>
      <w:r>
        <w:rPr>
          <w:rFonts w:ascii="Calibri" w:cs="Calibri" w:eastAsia="Calibri" w:hAnsi="Calibri"/>
          <w:b/>
          <w:bCs/>
          <w:color w:val="2E74B5"/>
          <w:sz w:val="25"/>
          <w:szCs w:val="25"/>
        </w:rPr>
        <w:t xml:space="preserve">Phase 6: Post-Delivery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Client comments received and incorporated; Improvement Plan owners and dates confirmed at the After-Action Meeting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Final AAR marked FINAL and delivered within 30 business days of the exercise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Compliance Evidence Package assembled and delivered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Closeout checklist (Section 4) completed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Client satisfaction feedback collected; lessons learned documented; delivery log updated</w:t>
      </w:r>
    </w:p>
    <w:p>
      <w:pPr>
        <w:pStyle w:val="Heading1"/>
        <w:keepNext/>
        <w:spacing w:after="140" w:before="320"/>
      </w:pPr>
      <w:r>
        <w:rPr>
          <w:rFonts w:ascii="Calibri" w:cs="Calibri" w:eastAsia="Calibri" w:hAnsi="Calibri"/>
          <w:b/>
          <w:bCs/>
          <w:color w:val="1F3864"/>
          <w:sz w:val="30"/>
          <w:szCs w:val="30"/>
        </w:rPr>
        <w:t xml:space="preserve">4. Post-Engagement Closeout Checklist</w:t>
      </w:r>
    </w:p>
    <w:p>
      <w:pPr>
        <w:spacing w:after="120" w:before="0" w:line="276"/>
      </w:pPr>
      <w:r>
        <w:rPr>
          <w:rFonts w:ascii="Calibri" w:cs="Calibri" w:eastAsia="Calibri" w:hAnsi="Calibri"/>
          <w:color w:val="404040"/>
          <w:sz w:val="21"/>
          <w:szCs w:val="21"/>
        </w:rPr>
        <w:t xml:space="preserve">Complete all items within 10 business days of final AAR delivery.</w:t>
      </w:r>
    </w:p>
    <w:p>
      <w:pPr>
        <w:pStyle w:val="Heading2"/>
        <w:keepNext/>
        <w:spacing w:after="110" w:before="240"/>
      </w:pPr>
      <w:r>
        <w:rPr>
          <w:rFonts w:ascii="Calibri" w:cs="Calibri" w:eastAsia="Calibri" w:hAnsi="Calibri"/>
          <w:b/>
          <w:bCs/>
          <w:color w:val="2E74B5"/>
          <w:sz w:val="25"/>
          <w:szCs w:val="25"/>
        </w:rPr>
        <w:t xml:space="preserve">Deliverables and Finance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All deliverables confirmed received by the client and marked FINAL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Final invoice sent; all payments received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Travel expenses submitted and reimbursed (if applicable)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Actual hours vs. estimate compared; engagement profitability documented</w:t>
      </w:r>
    </w:p>
    <w:p>
      <w:pPr>
        <w:pStyle w:val="Heading2"/>
        <w:keepNext/>
        <w:spacing w:after="110" w:before="240"/>
      </w:pPr>
      <w:r>
        <w:rPr>
          <w:rFonts w:ascii="Calibri" w:cs="Calibri" w:eastAsia="Calibri" w:hAnsi="Calibri"/>
          <w:b/>
          <w:bCs/>
          <w:color w:val="2E74B5"/>
          <w:sz w:val="25"/>
          <w:szCs w:val="25"/>
        </w:rPr>
        <w:t xml:space="preserve">Data Handling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Client-provided documentation stored securely per the SOW data handling terms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Retention period start date recorded; destruction date calendared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Observer notes destruction completed and dated after final AAR acceptance and peer review closure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Exercise materials archived or destroyed per the SOW terms</w:t>
      </w:r>
    </w:p>
    <w:p>
      <w:pPr>
        <w:pStyle w:val="Heading2"/>
        <w:keepNext/>
        <w:spacing w:after="110" w:before="240"/>
      </w:pPr>
      <w:r>
        <w:rPr>
          <w:rFonts w:ascii="Calibri" w:cs="Calibri" w:eastAsia="Calibri" w:hAnsi="Calibri"/>
          <w:b/>
          <w:bCs/>
          <w:color w:val="2E74B5"/>
          <w:sz w:val="25"/>
          <w:szCs w:val="25"/>
        </w:rPr>
        <w:t xml:space="preserve">Quality Documentation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Facilitator Delivery Log updated with engagement details and feedback scores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Lessons learned documented (what worked, what to change, scenario notes)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Peer review feedback filed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Any quality issues documented for program improvement</w:t>
      </w:r>
    </w:p>
    <w:p>
      <w:pPr>
        <w:pStyle w:val="Heading2"/>
        <w:keepNext/>
        <w:spacing w:after="110" w:before="240"/>
      </w:pPr>
      <w:r>
        <w:rPr>
          <w:rFonts w:ascii="Calibri" w:cs="Calibri" w:eastAsia="Calibri" w:hAnsi="Calibri"/>
          <w:b/>
          <w:bCs/>
          <w:color w:val="2E74B5"/>
          <w:sz w:val="25"/>
          <w:szCs w:val="25"/>
        </w:rPr>
        <w:t xml:space="preserve">Advisory Relationship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Thank-you communication sent to the client coordinator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Findings reviewed against your service capabilities (Program Guide, Section 7)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30/60/90-day advisory check-ins scheduled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Next exercise recommendation documented (from AAR Conclusion)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Client added to the renewal pipeline; renewal proposal timing identified (60–90 days)</w:t>
      </w:r>
    </w:p>
    <w:p>
      <w:pPr>
        <w:spacing w:after="70" w:line="276"/>
        <w:ind w:left="260" w:hanging="260"/>
      </w:pPr>
      <w:r>
        <w:rPr>
          <w:rFonts w:ascii="Segoe UI Symbol" w:cs="Segoe UI Symbol" w:eastAsia="Segoe UI Symbol" w:hAnsi="Segoe UI Symbol"/>
          <w:color w:val="404040"/>
          <w:sz w:val="21"/>
          <w:szCs w:val="21"/>
        </w:rPr>
        <w:t xml:space="preserve">☐  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Testimonial or case study opportunity discussed (with client permission)</w:t>
      </w:r>
    </w:p>
    <w:p>
      <w:pPr>
        <w:pStyle w:val="Heading1"/>
        <w:keepNext/>
        <w:spacing w:after="140" w:before="320"/>
      </w:pPr>
      <w:r>
        <w:rPr>
          <w:rFonts w:ascii="Calibri" w:cs="Calibri" w:eastAsia="Calibri" w:hAnsi="Calibri"/>
          <w:b/>
          <w:bCs/>
          <w:color w:val="1F3864"/>
          <w:sz w:val="30"/>
          <w:szCs w:val="30"/>
        </w:rPr>
        <w:t xml:space="preserve">5. Facilitator Readiness and Training</w:t>
      </w:r>
    </w:p>
    <w:p>
      <w:pPr>
        <w:pStyle w:val="Heading2"/>
        <w:keepNext/>
        <w:spacing w:after="110" w:before="240"/>
      </w:pPr>
      <w:r>
        <w:rPr>
          <w:rFonts w:ascii="Calibri" w:cs="Calibri" w:eastAsia="Calibri" w:hAnsi="Calibri"/>
          <w:b/>
          <w:bCs/>
          <w:color w:val="2E74B5"/>
          <w:sz w:val="25"/>
          <w:szCs w:val="25"/>
        </w:rPr>
        <w:t xml:space="preserve">5.1 Foundational Requirements (before first delivery)</w:t>
      </w:r>
    </w:p>
    <w:tbl>
      <w:tblPr>
        <w:tblW w:type="dxa" w:w="9360"/>
        <w:tblBorders>
          <w:top w:val="single" w:color="BFBFBF" w:sz="4"/>
          <w:left w:val="single" w:color="BFBFBF" w:sz="4"/>
          <w:bottom w:val="single" w:color="BFBFBF" w:sz="4"/>
          <w:right w:val="single" w:color="BFBFBF" w:sz="4"/>
          <w:insideH w:val="single" w:color="BFBFBF" w:sz="4"/>
          <w:insideV w:val="single" w:color="BFBFBF" w:sz="4"/>
        </w:tblBorders>
      </w:tblPr>
      <w:tblGrid>
        <w:gridCol w:w="3400"/>
        <w:gridCol w:w="5960"/>
      </w:tblGrid>
      <w:tr>
        <w:trPr>
          <w:tblHeader/>
        </w:trPr>
        <w:tc>
          <w:tcPr>
            <w:tcW w:type="dxa" w:w="3400"/>
            <w:shd w:fill="1F386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Requirement</w:t>
            </w:r>
          </w:p>
        </w:tc>
        <w:tc>
          <w:tcPr>
            <w:tcW w:type="dxa" w:w="5960"/>
            <w:shd w:fill="1F386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Detail</w:t>
            </w:r>
          </w:p>
        </w:tc>
      </w:tr>
      <w:tr>
        <w:tc>
          <w:tcPr>
            <w:tcW w:type="dxa" w:w="34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FEMA IS-120.c ,  An Introduction to Exercises</w:t>
            </w:r>
          </w:p>
        </w:tc>
        <w:tc>
          <w:tcPr>
            <w:tcW w:type="dxa" w:w="596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Recommended self-study. Free at training.fema.gov (~3 hours). Provides useful HSEEP context but is not required before your first delivery.</w:t>
            </w:r>
          </w:p>
        </w:tc>
      </w:tr>
      <w:tr>
        <w:tc>
          <w:tcPr>
            <w:tcW w:type="dxa" w:w="34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FEMA IS-130 ,  Exercise Evaluation and Improvement Planning</w:t>
            </w:r>
          </w:p>
        </w:tc>
        <w:tc>
          <w:tcPr>
            <w:tcW w:type="dxa" w:w="596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Recommended self-study. Free (~2 hours). Useful for understanding evaluation methodology but not required before your first delivery.</w:t>
            </w:r>
          </w:p>
        </w:tc>
      </w:tr>
      <w:tr>
        <w:tc>
          <w:tcPr>
            <w:tcW w:type="dxa" w:w="34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Program document review</w:t>
            </w:r>
          </w:p>
        </w:tc>
        <w:tc>
          <w:tcPr>
            <w:tcW w:type="dxa" w:w="596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Read the Program Guide, Severity and Finding Standards, Sample Findings Library, Pulse Check AAR Template, and Facilitator Guide.</w:t>
            </w:r>
          </w:p>
        </w:tc>
      </w:tr>
      <w:tr>
        <w:tc>
          <w:tcPr>
            <w:tcW w:type="dxa" w:w="34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Internal dry run</w:t>
            </w:r>
          </w:p>
        </w:tc>
        <w:tc>
          <w:tcPr>
            <w:tcW w:type="dxa" w:w="596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Facilitate a full Pulse Check on your own team (minimum 5–6 participants) with a colleague as observer, using GS-1c or GS-3.</w:t>
            </w:r>
          </w:p>
        </w:tc>
      </w:tr>
      <w:tr>
        <w:tc>
          <w:tcPr>
            <w:tcW w:type="dxa" w:w="34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Practice AAR</w:t>
            </w:r>
          </w:p>
        </w:tc>
        <w:tc>
          <w:tcPr>
            <w:tcW w:type="dxa" w:w="596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Write a complete practice AAR from the dry run. Having it reviewed by an AI tool is a reasonable starting point for calibrating your writing ,  but AI review alone is not a substitute for eventual human peer review as your practice matures.</w:t>
            </w:r>
          </w:p>
        </w:tc>
      </w:tr>
    </w:tbl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single" w:color="1F3864" w:sz="24"/>
              <w:bottom w:val="none" w:color="FFFFFF" w:sz="0"/>
              <w:right w:val="none" w:color="FFFFFF" w:sz="0"/>
            </w:tcBorders>
            <w:shd w:fill="EDF2F9" w:val="clear"/>
            <w:tcMar>
              <w:top w:type="dxa" w:w="100"/>
              <w:left w:type="dxa" w:w="160"/>
              <w:bottom w:type="dxa" w:w="100"/>
              <w:right w:type="dxa" w:w="160"/>
            </w:tcMar>
          </w:tcPr>
          <w:p>
            <w:pPr>
              <w:spacing w:after="60"/>
            </w:pPr>
            <w:r>
              <w:rPr>
                <w:rFonts w:ascii="Calibri" w:cs="Calibri" w:eastAsia="Calibri" w:hAnsi="Calibri"/>
                <w:b/>
                <w:bCs/>
                <w:color w:val="1F3864"/>
                <w:sz w:val="20"/>
                <w:szCs w:val="20"/>
              </w:rPr>
              <w:t xml:space="preserve">ℹ  GGUIDANCE: The Dry Run Pays Twice</w:t>
            </w:r>
          </w:p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It gives the facilitator practice in a low-stakes environment, and it genuinely tests your own organization’s preparedness. Document the dry run, the practice AAR, and the review feedback in the Facilitator Delivery Log.</w:t>
            </w:r>
          </w:p>
        </w:tc>
      </w:tr>
    </w:tbl>
    <w:p>
      <w:pPr>
        <w:pStyle w:val="Heading2"/>
        <w:keepNext/>
        <w:spacing w:after="110" w:before="240"/>
      </w:pPr>
      <w:r>
        <w:rPr>
          <w:rFonts w:ascii="Calibri" w:cs="Calibri" w:eastAsia="Calibri" w:hAnsi="Calibri"/>
          <w:b/>
          <w:bCs/>
          <w:color w:val="2E74B5"/>
          <w:sz w:val="25"/>
          <w:szCs w:val="25"/>
        </w:rPr>
        <w:t xml:space="preserve">5.2 Core Competencies</w:t>
      </w:r>
    </w:p>
    <w:tbl>
      <w:tblPr>
        <w:tblW w:type="dxa" w:w="9360"/>
        <w:tblBorders>
          <w:top w:val="single" w:color="BFBFBF" w:sz="4"/>
          <w:left w:val="single" w:color="BFBFBF" w:sz="4"/>
          <w:bottom w:val="single" w:color="BFBFBF" w:sz="4"/>
          <w:right w:val="single" w:color="BFBFBF" w:sz="4"/>
          <w:insideH w:val="single" w:color="BFBFBF" w:sz="4"/>
          <w:insideV w:val="single" w:color="BFBFBF" w:sz="4"/>
        </w:tblBorders>
      </w:tblPr>
      <w:tblGrid>
        <w:gridCol w:w="2200"/>
        <w:gridCol w:w="4160"/>
        <w:gridCol w:w="3000"/>
      </w:tblGrid>
      <w:tr>
        <w:trPr>
          <w:tblHeader/>
        </w:trPr>
        <w:tc>
          <w:tcPr>
            <w:tcW w:type="dxa" w:w="2200"/>
            <w:shd w:fill="1F386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Competency</w:t>
            </w:r>
          </w:p>
        </w:tc>
        <w:tc>
          <w:tcPr>
            <w:tcW w:type="dxa" w:w="4160"/>
            <w:shd w:fill="1F386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Description</w:t>
            </w:r>
          </w:p>
        </w:tc>
        <w:tc>
          <w:tcPr>
            <w:tcW w:type="dxa" w:w="3000"/>
            <w:shd w:fill="1F386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Assessed Through</w:t>
            </w:r>
          </w:p>
        </w:tc>
      </w:tr>
      <w:tr>
        <w:tc>
          <w:tcPr>
            <w:tcW w:type="dxa" w:w="22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HSEEP methodology</w:t>
            </w:r>
          </w:p>
        </w:tc>
        <w:tc>
          <w:tcPr>
            <w:tcW w:type="dxa" w:w="416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Exercise design, evaluation, and improvement planning per HSEEP doctrine</w:t>
            </w:r>
          </w:p>
        </w:tc>
        <w:tc>
          <w:tcPr>
            <w:tcW w:type="dxa" w:w="30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Self-study; dry run; ongoing practice</w:t>
            </w:r>
          </w:p>
        </w:tc>
      </w:tr>
      <w:tr>
        <w:tc>
          <w:tcPr>
            <w:tcW w:type="dxa" w:w="22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Scenario customization</w:t>
            </w:r>
          </w:p>
        </w:tc>
        <w:tc>
          <w:tcPr>
            <w:tcW w:type="dxa" w:w="416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Tailoring scenarios to client industry, structure, and regulatory environment</w:t>
            </w:r>
          </w:p>
        </w:tc>
        <w:tc>
          <w:tcPr>
            <w:tcW w:type="dxa" w:w="30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Practice AAR; customization checklist compliance</w:t>
            </w:r>
          </w:p>
        </w:tc>
      </w:tr>
      <w:tr>
        <w:tc>
          <w:tcPr>
            <w:tcW w:type="dxa" w:w="22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Adaptive facilitation</w:t>
            </w:r>
          </w:p>
        </w:tc>
        <w:tc>
          <w:tcPr>
            <w:tcW w:type="dxa" w:w="416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Guiding discussion with judgment and probe questions rather than rigid scripts</w:t>
            </w:r>
          </w:p>
        </w:tc>
        <w:tc>
          <w:tcPr>
            <w:tcW w:type="dxa" w:w="30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Client feedback; observer feedback</w:t>
            </w:r>
          </w:p>
        </w:tc>
      </w:tr>
      <w:tr>
        <w:tc>
          <w:tcPr>
            <w:tcW w:type="dxa" w:w="22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Observation and analysis</w:t>
            </w:r>
          </w:p>
        </w:tc>
        <w:tc>
          <w:tcPr>
            <w:tcW w:type="dxa" w:w="416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Translating exercise observations into calibrated, actionable findings</w:t>
            </w:r>
          </w:p>
        </w:tc>
        <w:tc>
          <w:tcPr>
            <w:tcW w:type="dxa" w:w="30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AAR quality; peer review calibration</w:t>
            </w:r>
          </w:p>
        </w:tc>
      </w:tr>
      <w:tr>
        <w:tc>
          <w:tcPr>
            <w:tcW w:type="dxa" w:w="22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Professional writing</w:t>
            </w:r>
          </w:p>
        </w:tc>
        <w:tc>
          <w:tcPr>
            <w:tcW w:type="dxa" w:w="416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Producing AARs and summaries that meet the writing standards</w:t>
            </w:r>
          </w:p>
        </w:tc>
        <w:tc>
          <w:tcPr>
            <w:tcW w:type="dxa" w:w="30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Practice AAR; peer review feedback</w:t>
            </w:r>
          </w:p>
        </w:tc>
      </w:tr>
      <w:tr>
        <w:tc>
          <w:tcPr>
            <w:tcW w:type="dxa" w:w="22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Client management</w:t>
            </w:r>
          </w:p>
        </w:tc>
        <w:tc>
          <w:tcPr>
            <w:tcW w:type="dxa" w:w="416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Managing expectations, navigating sensitive findings, maintaining relationships</w:t>
            </w:r>
          </w:p>
        </w:tc>
        <w:tc>
          <w:tcPr>
            <w:tcW w:type="dxa" w:w="3000"/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Client and coordinator feedback</w:t>
            </w:r>
          </w:p>
        </w:tc>
      </w:tr>
      <w:tr>
        <w:tc>
          <w:tcPr>
            <w:tcW w:type="dxa" w:w="22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Quality discipline</w:t>
            </w:r>
          </w:p>
        </w:tc>
        <w:tc>
          <w:tcPr>
            <w:tcW w:type="dxa" w:w="416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Consistent adherence to the observer mandate, peer review, and quality gates</w:t>
            </w:r>
          </w:p>
        </w:tc>
        <w:tc>
          <w:tcPr>
            <w:tcW w:type="dxa" w:w="3000"/>
            <w:shd w:fill="F2F2F2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top"/>
          </w:tcPr>
          <w:p>
            <w:pPr>
              <w:spacing w:after="40" w:before="0" w:line="276"/>
            </w:pPr>
            <w:r>
              <w:rPr>
                <w:rFonts w:ascii="Calibri" w:cs="Calibri" w:eastAsia="Calibri" w:hAnsi="Calibri"/>
                <w:color w:val="404040"/>
                <w:sz w:val="20"/>
                <w:szCs w:val="20"/>
              </w:rPr>
              <w:t xml:space="preserve">Delivery log; QA compliance</w:t>
            </w:r>
          </w:p>
        </w:tc>
      </w:tr>
    </w:tbl>
    <w:p>
      <w:pPr>
        <w:pStyle w:val="Heading2"/>
        <w:keepNext/>
        <w:spacing w:after="110" w:before="240"/>
      </w:pPr>
      <w:r>
        <w:rPr>
          <w:rFonts w:ascii="Calibri" w:cs="Calibri" w:eastAsia="Calibri" w:hAnsi="Calibri"/>
          <w:b/>
          <w:bCs/>
          <w:color w:val="2E74B5"/>
          <w:sz w:val="25"/>
          <w:szCs w:val="25"/>
        </w:rPr>
        <w:t xml:space="preserve">5.3 Ongoing Development</w:t>
      </w:r>
    </w:p>
    <w:p>
      <w:pPr>
        <w:pStyle w:val="ListParagraph"/>
        <w:numPr>
          <w:ilvl w:val="0"/>
          <w:numId w:val="2"/>
        </w:numPr>
        <w:spacing w:after="80" w:line="276"/>
      </w:pPr>
      <w:r>
        <w:rPr>
          <w:rFonts w:ascii="Calibri" w:cs="Calibri" w:eastAsia="Calibri" w:hAnsi="Calibri"/>
          <w:color w:val="404040"/>
          <w:sz w:val="21"/>
          <w:szCs w:val="21"/>
        </w:rPr>
        <w:t xml:space="preserve"/>
      </w:r>
      <w:r>
        <w:rPr>
          <w:rFonts w:ascii="Calibri" w:cs="Calibri" w:eastAsia="Calibri" w:hAnsi="Calibri"/>
          <w:b/>
          <w:bCs/>
          <w:color w:val="404040"/>
          <w:sz w:val="21"/>
          <w:szCs w:val="21"/>
        </w:rPr>
        <w:t xml:space="preserve">Annual refresh: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 re-read the quality standards documents and complete at least one peer review per year.</w:t>
      </w:r>
    </w:p>
    <w:p>
      <w:pPr>
        <w:pStyle w:val="ListParagraph"/>
        <w:numPr>
          <w:ilvl w:val="0"/>
          <w:numId w:val="2"/>
        </w:numPr>
        <w:spacing w:after="80" w:line="276"/>
      </w:pPr>
      <w:r>
        <w:rPr>
          <w:rFonts w:ascii="Calibri" w:cs="Calibri" w:eastAsia="Calibri" w:hAnsi="Calibri"/>
          <w:color w:val="404040"/>
          <w:sz w:val="21"/>
          <w:szCs w:val="21"/>
        </w:rPr>
        <w:t xml:space="preserve"/>
      </w:r>
      <w:r>
        <w:rPr>
          <w:rFonts w:ascii="Calibri" w:cs="Calibri" w:eastAsia="Calibri" w:hAnsi="Calibri"/>
          <w:b/>
          <w:bCs/>
          <w:color w:val="404040"/>
          <w:sz w:val="21"/>
          <w:szCs w:val="21"/>
        </w:rPr>
        <w:t xml:space="preserve">Continuous improvement: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 review lessons learned after every delivery.</w:t>
      </w:r>
    </w:p>
    <w:p>
      <w:pPr>
        <w:pStyle w:val="ListParagraph"/>
        <w:numPr>
          <w:ilvl w:val="0"/>
          <w:numId w:val="2"/>
        </w:numPr>
        <w:spacing w:after="80" w:line="276"/>
      </w:pPr>
      <w:r>
        <w:rPr>
          <w:rFonts w:ascii="Calibri" w:cs="Calibri" w:eastAsia="Calibri" w:hAnsi="Calibri"/>
          <w:color w:val="404040"/>
          <w:sz w:val="21"/>
          <w:szCs w:val="21"/>
        </w:rPr>
        <w:t xml:space="preserve"/>
      </w:r>
      <w:r>
        <w:rPr>
          <w:rFonts w:ascii="Calibri" w:cs="Calibri" w:eastAsia="Calibri" w:hAnsi="Calibri"/>
          <w:b/>
          <w:bCs/>
          <w:color w:val="404040"/>
          <w:sz w:val="21"/>
          <w:szCs w:val="21"/>
        </w:rPr>
        <w:t xml:space="preserve">Peer community: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 participate in a facilitator peer review network for calibration and development.</w:t>
      </w:r>
    </w:p>
    <w:p>
      <w:pPr>
        <w:pStyle w:val="ListParagraph"/>
        <w:numPr>
          <w:ilvl w:val="0"/>
          <w:numId w:val="2"/>
        </w:numPr>
        <w:spacing w:after="80" w:line="276"/>
      </w:pPr>
      <w:r>
        <w:rPr>
          <w:rFonts w:ascii="Calibri" w:cs="Calibri" w:eastAsia="Calibri" w:hAnsi="Calibri"/>
          <w:color w:val="404040"/>
          <w:sz w:val="21"/>
          <w:szCs w:val="21"/>
        </w:rPr>
        <w:t xml:space="preserve"/>
      </w:r>
      <w:r>
        <w:rPr>
          <w:rFonts w:ascii="Calibri" w:cs="Calibri" w:eastAsia="Calibri" w:hAnsi="Calibri"/>
          <w:b/>
          <w:bCs/>
          <w:color w:val="404040"/>
          <w:sz w:val="21"/>
          <w:szCs w:val="21"/>
        </w:rPr>
        <w:t xml:space="preserve">Industry awareness: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 stay current with emerging threats, regulatory changes, and emerging scenario types.</w:t>
      </w:r>
    </w:p>
    <w:p>
      <w:pPr>
        <w:pStyle w:val="ListParagraph"/>
        <w:numPr>
          <w:ilvl w:val="0"/>
          <w:numId w:val="2"/>
        </w:numPr>
        <w:spacing w:after="80" w:line="276"/>
      </w:pPr>
      <w:r>
        <w:rPr>
          <w:rFonts w:ascii="Calibri" w:cs="Calibri" w:eastAsia="Calibri" w:hAnsi="Calibri"/>
          <w:color w:val="404040"/>
          <w:sz w:val="21"/>
          <w:szCs w:val="21"/>
        </w:rPr>
        <w:t xml:space="preserve"/>
      </w:r>
      <w:r>
        <w:rPr>
          <w:rFonts w:ascii="Calibri" w:cs="Calibri" w:eastAsia="Calibri" w:hAnsi="Calibri"/>
          <w:b/>
          <w:bCs/>
          <w:color w:val="404040"/>
          <w:sz w:val="21"/>
          <w:szCs w:val="21"/>
        </w:rPr>
        <w:t xml:space="preserve">Professional development:</w:t>
      </w:r>
      <w:r>
        <w:rPr>
          <w:rFonts w:ascii="Calibri" w:cs="Calibri" w:eastAsia="Calibri" w:hAnsi="Calibri"/>
          <w:color w:val="404040"/>
          <w:sz w:val="21"/>
          <w:szCs w:val="21"/>
        </w:rPr>
        <w:t xml:space="preserve"> FEMA’s IS-120.c, IS-130, and the Master Exercise Practitioner Program (MEPP) are excellent resources as your practice matures and you want deeper methodological grounding.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7"/>
        <w:szCs w:val="17"/>
      </w:rPr>
      <w:t xml:space="preserve">v1.0  ·  Page </w:t>
    </w:r>
    <w:r>
      <w:rPr>
        <w:rFonts w:ascii="Calibri" w:cs="Calibri" w:eastAsia="Calibri" w:hAnsi="Calibri"/>
        <w:color w:val="595959"/>
        <w:sz w:val="17"/>
        <w:szCs w:val="17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95959"/>
        <w:sz w:val="17"/>
        <w:szCs w:val="17"/>
      </w:rPr>
      <w:t xml:space="preserve"> of </w:t>
    </w:r>
    <w:r>
      <w:rPr>
        <w:rFonts w:ascii="Calibri" w:cs="Calibri" w:eastAsia="Calibri" w:hAnsi="Calibri"/>
        <w:color w:val="595959"/>
        <w:sz w:val="17"/>
        <w:szCs w:val="17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BFBFBF" w:sz="4" w:space="3"/>
      </w:pBdr>
    </w:pPr>
    <w:r>
      <w:rPr>
        <w:rFonts w:ascii="Calibri" w:cs="Calibri" w:eastAsia="Calibri" w:hAnsi="Calibri"/>
        <w:color w:val="595959"/>
        <w:sz w:val="17"/>
        <w:szCs w:val="17"/>
      </w:rPr>
      <w:t xml:space="preserve">Business Resilience Pulse Check   |   Operations Manual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60" w:hanging="23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60" w:hanging="320"/>
      </w:pPr>
    </w:lvl>
  </w:abstractNum>
  <w:abstractNum w:abstractNumId="4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60" w:hanging="320"/>
      </w:pPr>
    </w:lvl>
  </w:abstractNum>
  <w:abstractNum w:abstractNumId="5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60" w:hanging="320"/>
      </w:pPr>
    </w:lvl>
  </w:abstractNum>
  <w:abstractNum w:abstractNumId="6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60" w:hanging="320"/>
      </w:pPr>
    </w:lvl>
  </w:abstractNum>
  <w:abstractNum w:abstractNumId="7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60" w:hanging="320"/>
      </w:pPr>
    </w:lvl>
  </w:abstractNum>
  <w:abstractNum w:abstractNumId="8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60" w:hanging="320"/>
      </w:pPr>
    </w:lvl>
  </w:abstractNum>
  <w:abstractNum w:abstractNumId="9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60" w:hanging="320"/>
      </w:pPr>
    </w:lvl>
  </w:abstractNum>
  <w:abstractNum w:abstractNumId="10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60" w:hanging="32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404040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outlineLvl w:val="0"/>
    </w:pPr>
    <w:rPr>
      <w:rFonts w:ascii="Calibri" w:cs="Calibri" w:eastAsia="Calibri" w:hAnsi="Calibri"/>
      <w:b/>
      <w:bCs/>
      <w:color w:val="1F3864"/>
      <w:sz w:val="30"/>
      <w:szCs w:val="30"/>
    </w:rPr>
  </w:style>
  <w:style w:type="paragraph" w:styleId="Heading2">
    <w:name w:val="Heading 2"/>
    <w:basedOn w:val="Normal"/>
    <w:next w:val="Normal"/>
    <w:qFormat/>
    <w:pPr>
      <w:outlineLvl w:val="1"/>
    </w:pPr>
    <w:rPr>
      <w:rFonts w:ascii="Calibri" w:cs="Calibri" w:eastAsia="Calibri" w:hAnsi="Calibri"/>
      <w:b/>
      <w:bCs/>
      <w:color w:val="2E74B5"/>
      <w:sz w:val="25"/>
      <w:szCs w:val="25"/>
    </w:rPr>
  </w:style>
  <w:style w:type="paragraph" w:styleId="Heading3">
    <w:name w:val="Heading 3"/>
    <w:basedOn w:val="Normal"/>
    <w:next w:val="Normal"/>
    <w:qFormat/>
    <w:pPr>
      <w:outlineLvl w:val="2"/>
    </w:pPr>
    <w:rPr>
      <w:rFonts w:ascii="Calibri" w:cs="Calibri" w:eastAsia="Calibri" w:hAnsi="Calibri"/>
      <w:b/>
      <w:bCs/>
      <w:color w:val="1F3864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2026-07-14T20:14:24.965Z</dcterms:created>
  <dcterms:modified xsi:type="dcterms:W3CDTF">2026-07-14T20:14:24.966Z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